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REŠITVE (ZA VSE KATEGORIJE)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KATEGORIJA 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1.d, 2.c, 3.b, 4.b,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5.c, 6.c, 7.c, 8.b,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9.b, 10.b, 11.c,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12 1d 2c 3a 4b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13.c, 14.d, 15.b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KATEGORIJI BFG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1.d, 2.c, 3.b, 4.c,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5.b, 6.c, 7.c, 8.b,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9.d, 10.d., 11.c,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12. 1d 2c 3a 4b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13.c, 14.d, 15.b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KATEGORIJE CDEHI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1.b, 2.a, 3.c, 4.c,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5.d, 6.b, 7.d, 8.b,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9.b, 10. 30 min (toleranca +-2 min), 11.b,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12. 1d 2c 3a 4b</w:t>
      </w:r>
    </w:p>
    <w:sectPr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7Y20XQm0UZe2JEcDLh5qPuKQg==">CgMxLjA4AHIhMURkOGdwWFZVVkI4VE50OGxtYms4MzdGWFBKYkZldFRt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